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ind w:right="67" w:left="0"/>
        <w:spacing w:before="14" w:after="441" w:line="240" w:lineRule="auto"/>
        <w:jc w:val="left"/>
      </w:pPr>
      <w:r>
        <w:drawing>
          <wp:inline>
            <wp:extent cx="6129655" cy="822960"/>
            <wp:docPr id="1" name="pic"/>
            <a:graphic>
              <a:graphicData uri="http://schemas.openxmlformats.org/drawingml/2006/picture">
                <pic:pic>
                  <pic:nvPicPr>
                    <pic:cNvPr id="2" name="test1"/>
                    <pic:cNvPicPr preferRelativeResize="false"/>
                  </pic:nvPicPr>
                  <pic:blipFill>
                    <a:blip r:embed="drId2"/>
                    <a:stretch>
                      <a:fillRect/>
                    </a:stretch>
                  </pic:blipFill>
                  <pic:spPr>
                    <a:xfrm>
                      <a:off x="0" y="0"/>
                      <a:ext cx="6129655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18" w:h="16854" w:orient="portrait"/>
          <w:type w:val="nextPage"/>
          <w:textDirection w:val="lrTb"/>
          <w:pgMar w:bottom="6109" w:top="552" w:right="1007" w:left="1131" w:header="720" w:footer="720"/>
          <w:titlePg w:val="false"/>
        </w:sectPr>
      </w:pPr>
    </w:p>
    <w:p>
      <w:pPr>
        <w:ind w:right="3096" w:left="0" w:firstLine="0"/>
        <w:spacing w:before="0" w:after="0" w:line="268" w:lineRule="auto"/>
        <w:jc w:val="left"/>
        <w:rPr>
          <w:b w:val="true"/>
          <w:color w:val="#000000"/>
          <w:sz w:val="19"/>
          <w:lang w:val="en-US"/>
          <w:spacing w:val="-6"/>
          <w:w w:val="105"/>
          <w:strike w:val="false"/>
          <w:vertAlign w:val="baseline"/>
          <w:rFonts w:ascii="Arial" w:hAnsi="Arial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color="#000000" stroked="f" style="position:absolute;width:428.6pt;height:7.7pt;z-index:-1000;margin-left:63.05pt;margin-top:520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/>
                    <w:spacing w:before="0" w:after="0" w:line="154" w:lineRule="exact"/>
                    <w:jc w:val="center"/>
                  </w:pPr>
                  <w:r>
                    <w:drawing>
                      <wp:inline>
                        <wp:extent cx="5443220" cy="97790"/>
                        <wp:docPr id="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test1"/>
                                <pic:cNvPicPr preferRelativeResize="false"/>
                              </pic:nvPicPr>
                              <pic:blipFill>
                                <a:blip r:embed="d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43220" cy="97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color="#000000" stroked="f" style="position:absolute;width:428.2pt;height:7.45pt;z-index:-999;margin-left:63.25pt;margin-top:521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141" w:lineRule="exact"/>
                    <w:jc w:val="left"/>
                    <w:framePr w:hAnchor="page" w:vAnchor="page" w:x="1265" w:y="10421" w:w="8564" w:h="149" w:hSpace="0" w:vSpace="0" w:wrap="3"/>
                    <w:tabs>
                      <w:tab w:val="right" w:leader="none" w:pos="8559"/>
                    </w:tabs>
                    <w:rPr>
                      <w:b w:val="true"/>
                      <w:color w:val="#000000"/>
                      <w:sz w:val="19"/>
                      <w:lang w:val="en-US"/>
                      <w:spacing w:val="-12"/>
                      <w:w w:val="110"/>
                      <w:strike w:val="false"/>
                      <w:vertAlign w:val="baseline"/>
                      <w:rFonts w:ascii="Arial" w:hAnsi="Arial"/>
                    </w:rPr>
                  </w:pPr>
                  <w:r>
                    <w:rPr>
                      <w:b w:val="true"/>
                      <w:color w:val="#000000"/>
                      <w:sz w:val="19"/>
                      <w:lang w:val="en-US"/>
                      <w:spacing w:val="-12"/>
                      <w:w w:val="110"/>
                      <w:strike w:val="false"/>
                      <w:vertAlign w:val="baseline"/>
                      <w:rFonts w:ascii="Arial" w:hAnsi="Arial"/>
                    </w:rPr>
                    <w:t xml:space="preserve">Total	</w:t>
                  </w:r>
                  <w:r>
                    <w:rPr>
                      <w:b w:val="true"/>
                      <w:color w:val="#000000"/>
                      <w:sz w:val="19"/>
                      <w:lang w:val="en-US"/>
                      <w:spacing w:val="0"/>
                      <w:w w:val="110"/>
                      <w:strike w:val="false"/>
                      <w:vertAlign w:val="baseline"/>
                      <w:rFonts w:ascii="Arial" w:hAnsi="Arial"/>
                    </w:rPr>
                    <w:t xml:space="preserve">0</w:t>
                  </w:r>
                </w:p>
              </w:txbxContent>
            </v:textbox>
          </v:shape>
        </w:pict>
      </w:r>
      <w:r>
        <w:rPr>
          <w:b w:val="true"/>
          <w:color w:val="#000000"/>
          <w:sz w:val="19"/>
          <w:lang w:val="en-US"/>
          <w:spacing w:val="-6"/>
          <w:w w:val="105"/>
          <w:strike w:val="false"/>
          <w:vertAlign w:val="baseline"/>
          <w:rFonts w:ascii="Arial" w:hAnsi="Arial"/>
        </w:rPr>
        <w:t xml:space="preserve">Reporte de solicitudes de protección de información confidencial </w:t>
      </w:r>
      <w:r>
        <w:rPr>
          <w:b w:val="true"/>
          <w:color w:val="#000000"/>
          <w:sz w:val="19"/>
          <w:lang w:val="en-US"/>
          <w:spacing w:val="-3"/>
          <w:w w:val="105"/>
          <w:strike w:val="false"/>
          <w:vertAlign w:val="baseline"/>
          <w:rFonts w:ascii="Arial" w:hAnsi="Arial"/>
        </w:rPr>
        <w:t xml:space="preserve">Folio / Periodo: P23-2588 / Diciembre 2023</w:t>
      </w:r>
    </w:p>
    <w:p>
      <w:pPr>
        <w:ind w:right="3528" w:left="0" w:firstLine="0"/>
        <w:spacing w:before="36" w:after="0" w:line="268" w:lineRule="auto"/>
        <w:jc w:val="left"/>
        <w:rPr>
          <w:b w:val="true"/>
          <w:color w:val="#000000"/>
          <w:sz w:val="19"/>
          <w:lang w:val="en-US"/>
          <w:spacing w:val="-4"/>
          <w:w w:val="105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9"/>
          <w:lang w:val="en-US"/>
          <w:spacing w:val="-4"/>
          <w:w w:val="105"/>
          <w:strike w:val="false"/>
          <w:vertAlign w:val="baseline"/>
          <w:rFonts w:ascii="Arial" w:hAnsi="Arial"/>
        </w:rPr>
        <w:t xml:space="preserve">Sujeto obligado: </w:t>
      </w:r>
      <w:r>
        <w:rPr>
          <w:color w:val="#000000"/>
          <w:sz w:val="19"/>
          <w:lang w:val="en-US"/>
          <w:spacing w:val="-4"/>
          <w:w w:val="100"/>
          <w:strike w:val="false"/>
          <w:vertAlign w:val="baseline"/>
          <w:rFonts w:ascii="Arial" w:hAnsi="Arial"/>
        </w:rPr>
        <w:t xml:space="preserve">Ayuntamiento de Ixtlahuacán de los Membrillos </w:t>
      </w:r>
      <w:r>
        <w:rPr>
          <w:b w:val="true"/>
          <w:color w:val="#000000"/>
          <w:sz w:val="19"/>
          <w:lang w:val="en-US"/>
          <w:spacing w:val="-1"/>
          <w:w w:val="105"/>
          <w:strike w:val="false"/>
          <w:vertAlign w:val="baseline"/>
          <w:rFonts w:ascii="Arial" w:hAnsi="Arial"/>
        </w:rPr>
        <w:t xml:space="preserve">Fecha de registro: </w:t>
      </w:r>
      <w:r>
        <w:rPr>
          <w:color w:val="#000000"/>
          <w:sz w:val="19"/>
          <w:lang w:val="en-US"/>
          <w:spacing w:val="-1"/>
          <w:w w:val="100"/>
          <w:strike w:val="false"/>
          <w:vertAlign w:val="baseline"/>
          <w:rFonts w:ascii="Arial" w:hAnsi="Arial"/>
        </w:rPr>
        <w:t xml:space="preserve">18 Enero de 2024 | </w:t>
      </w:r>
      <w:r>
        <w:rPr>
          <w:b w:val="true"/>
          <w:color w:val="#000000"/>
          <w:sz w:val="19"/>
          <w:lang w:val="en-US"/>
          <w:spacing w:val="-1"/>
          <w:w w:val="105"/>
          <w:strike w:val="false"/>
          <w:vertAlign w:val="baseline"/>
          <w:rFonts w:ascii="Arial" w:hAnsi="Arial"/>
        </w:rPr>
        <w:t xml:space="preserve">Hora: </w:t>
      </w:r>
      <w:r>
        <w:rPr>
          <w:color w:val="#000000"/>
          <w:sz w:val="19"/>
          <w:lang w:val="en-US"/>
          <w:spacing w:val="-1"/>
          <w:w w:val="100"/>
          <w:strike w:val="false"/>
          <w:vertAlign w:val="baseline"/>
          <w:rFonts w:ascii="Arial" w:hAnsi="Arial"/>
        </w:rPr>
        <w:t xml:space="preserve">12:06:08 hrs</w:t>
      </w:r>
    </w:p>
    <w:p>
      <w:pPr>
        <w:ind w:right="0" w:left="0" w:firstLine="0"/>
        <w:spacing w:before="0" w:after="0" w:line="240" w:lineRule="auto"/>
        <w:jc w:val="left"/>
        <w:rPr>
          <w:b w:val="true"/>
          <w:color w:val="#000000"/>
          <w:sz w:val="19"/>
          <w:lang w:val="en-US"/>
          <w:spacing w:val="0"/>
          <w:w w:val="105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9"/>
          <w:lang w:val="en-US"/>
          <w:spacing w:val="0"/>
          <w:w w:val="105"/>
          <w:strike w:val="false"/>
          <w:vertAlign w:val="baseline"/>
          <w:rFonts w:ascii="Arial" w:hAnsi="Arial"/>
        </w:rPr>
        <w:t xml:space="preserve">Tipo de entrega: 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Arial" w:hAnsi="Arial"/>
        </w:rPr>
        <w:t xml:space="preserve">Electrónica</w:t>
      </w:r>
    </w:p>
    <w:p>
      <w:pPr>
        <w:ind w:right="0" w:left="0" w:firstLine="0"/>
        <w:spacing w:before="0" w:after="108" w:line="208" w:lineRule="auto"/>
        <w:jc w:val="left"/>
        <w:rPr>
          <w:b w:val="true"/>
          <w:color w:val="#000000"/>
          <w:sz w:val="19"/>
          <w:lang w:val="en-US"/>
          <w:spacing w:val="-2"/>
          <w:w w:val="105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9"/>
          <w:lang w:val="en-US"/>
          <w:spacing w:val="-2"/>
          <w:w w:val="105"/>
          <w:strike w:val="false"/>
          <w:vertAlign w:val="baseline"/>
          <w:rFonts w:ascii="Arial" w:hAnsi="Arial"/>
        </w:rPr>
        <w:t xml:space="preserve">Usuario: 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Arial" w:hAnsi="Arial"/>
        </w:rPr>
        <w:t xml:space="preserve">ID 1086</w:t>
      </w:r>
    </w:p>
    <w:tbl>
      <w:tblPr>
        <w:jc w:val="left"/>
        <w:tblInd w:w="14" w:type="dxa"/>
        <w:tblLayout w:type="fixed"/>
        <w:tblCellMar>
          <w:left w:w="0" w:type="dxa"/>
          <w:right w:w="0" w:type="dxa"/>
        </w:tblCellMar>
      </w:tblPr>
      <w:tblGrid>
        <w:gridCol w:w="6216"/>
        <w:gridCol w:w="2866"/>
      </w:tblGrid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BDBDBD" w:fill="#BDBDBD"/>
          </w:tcPr>
          <w:p>
            <w:pPr>
              <w:ind w:right="0" w:left="91" w:firstLine="0"/>
              <w:spacing w:before="0" w:after="0" w:line="240" w:lineRule="auto"/>
              <w:jc w:val="left"/>
              <w:tabs>
                <w:tab w:val="clear" w:pos="144"/>
                <w:tab w:val="decimal" w:pos="235"/>
              </w:tabs>
              <w:numPr>
                <w:ilvl w:val="0"/>
                <w:numId w:val="2"/>
              </w:numPr>
              <w:rPr>
                <w:b w:val="true"/>
                <w:color w:val="#000000"/>
                <w:sz w:val="19"/>
                <w:lang w:val="en-US"/>
                <w:spacing w:val="8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8"/>
                <w:w w:val="100"/>
                <w:strike w:val="false"/>
                <w:vertAlign w:val="baseline"/>
                <w:rFonts w:ascii="Arial" w:hAnsi="Arial"/>
              </w:rPr>
              <w:t xml:space="preserve">Tipo de solicitud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BDBDBD" w:fill="#BDBDBD"/>
          </w:tcPr>
          <w:p>
            <w:pPr>
              <w:ind w:right="0" w:left="0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1.1. Acceso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1.2. Clasificación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1.3. Rectificación / Corrección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1.4. Oposición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1.5. Modificación, sustitución o ampliación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297" w:hRule="exact"/>
        </w:trPr>
        <w:tc>
          <w:tcPr>
            <w:gridSpan w:val="1"/>
            <w:tcBorders>
              <w:top w:val="single" w:sz="5" w:color="#000000"/>
              <w:bottom w:val="none" w:sz="0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1.6. Cancelación</w:t>
            </w:r>
          </w:p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8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DDDDDD" w:fill="#DDDDDD"/>
          </w:tcPr>
          <w:p>
            <w:pPr>
              <w:ind w:right="0" w:left="91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  <w:t xml:space="preserve">Total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DDDDDD" w:fill="#DDDDDD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none" w:sz="0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BDBDBD" w:fill="#BDBDBD"/>
          </w:tcPr>
          <w:p>
            <w:pPr>
              <w:ind w:right="0" w:left="91" w:firstLine="0"/>
              <w:spacing w:before="0" w:after="0" w:line="240" w:lineRule="auto"/>
              <w:jc w:val="left"/>
              <w:tabs>
                <w:tab w:val="clear" w:pos="144"/>
                <w:tab w:val="decimal" w:pos="235"/>
              </w:tabs>
              <w:numPr>
                <w:ilvl w:val="0"/>
                <w:numId w:val="2"/>
              </w:numPr>
              <w:rPr>
                <w:b w:val="true"/>
                <w:color w:val="#000000"/>
                <w:sz w:val="19"/>
                <w:lang w:val="en-US"/>
                <w:spacing w:val="1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10"/>
                <w:w w:val="100"/>
                <w:strike w:val="false"/>
                <w:vertAlign w:val="baseline"/>
                <w:rFonts w:ascii="Arial" w:hAnsi="Arial"/>
              </w:rPr>
              <w:t xml:space="preserve">Medio de presentación</w:t>
            </w:r>
          </w:p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BDBDBD" w:fill="#BDBDBD"/>
          </w:tcPr>
          <w:p>
            <w:pPr>
              <w:ind w:right="0" w:left="0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2.1. Física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2.2. Electrónica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none" w:sz="0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2.3. Comparecencia</w:t>
            </w:r>
          </w:p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DDDDDD" w:fill="#DDDDDD"/>
          </w:tcPr>
          <w:p>
            <w:pPr>
              <w:ind w:right="0" w:left="91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  <w:t xml:space="preserve">Total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DDDDDD" w:fill="#DDDDDD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none" w:sz="0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BDBDBD" w:fill="#BDBDBD"/>
          </w:tcPr>
          <w:p>
            <w:pPr>
              <w:ind w:right="0" w:left="91" w:firstLine="0"/>
              <w:spacing w:before="0" w:after="0" w:line="240" w:lineRule="auto"/>
              <w:jc w:val="left"/>
              <w:tabs>
                <w:tab w:val="clear" w:pos="288"/>
                <w:tab w:val="decimal" w:pos="379"/>
              </w:tabs>
              <w:numPr>
                <w:ilvl w:val="0"/>
                <w:numId w:val="2"/>
              </w:numPr>
              <w:rPr>
                <w:b w:val="true"/>
                <w:color w:val="#000000"/>
                <w:sz w:val="19"/>
                <w:lang w:val="en-US"/>
                <w:spacing w:val="12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12"/>
                <w:w w:val="100"/>
                <w:strike w:val="false"/>
                <w:vertAlign w:val="baseline"/>
                <w:rFonts w:ascii="Arial" w:hAnsi="Arial"/>
              </w:rPr>
              <w:t xml:space="preserve">Sentido de la solicitud</w:t>
            </w:r>
          </w:p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BDBDBD" w:fill="#BDBDBD"/>
          </w:tcPr>
          <w:p>
            <w:pPr>
              <w:ind w:right="0" w:left="0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3.1. Procedente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3.2. Procedente parcialmente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none" w:sz="0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3.3. Improcedente</w:t>
            </w:r>
          </w:p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DDDDDD" w:fill="#DDDDDD"/>
          </w:tcPr>
          <w:p>
            <w:pPr>
              <w:ind w:right="0" w:left="91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  <w:t xml:space="preserve">Total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DDDDDD" w:fill="#DDDDDD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1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none" w:sz="0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BDBDBD" w:fill="#BDBDBD"/>
          </w:tcPr>
          <w:p>
            <w:pPr>
              <w:ind w:right="0" w:left="91" w:firstLine="0"/>
              <w:spacing w:before="0" w:after="0" w:line="240" w:lineRule="auto"/>
              <w:jc w:val="left"/>
              <w:tabs>
                <w:tab w:val="clear" w:pos="288"/>
                <w:tab w:val="decimal" w:pos="379"/>
              </w:tabs>
              <w:numPr>
                <w:ilvl w:val="0"/>
                <w:numId w:val="2"/>
              </w:numPr>
              <w:rPr>
                <w:b w:val="true"/>
                <w:color w:val="#000000"/>
                <w:sz w:val="19"/>
                <w:lang w:val="en-US"/>
                <w:spacing w:val="14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14"/>
                <w:w w:val="100"/>
                <w:strike w:val="false"/>
                <w:vertAlign w:val="baseline"/>
                <w:rFonts w:ascii="Arial" w:hAnsi="Arial"/>
              </w:rPr>
              <w:t xml:space="preserve">Respuesta</w:t>
            </w:r>
          </w:p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BDBDBD" w:fill="#BDBDBD"/>
          </w:tcPr>
          <w:p>
            <w:pPr>
              <w:ind w:right="0" w:left="0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4.1. Dentro de término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none" w:sz="0" w:color="#000000"/>
              <w:left w:val="single" w:sz="5" w:color="#000000"/>
              <w:right w:val="none" w:sz="0" w:color="#000000"/>
            </w:tcBorders>
            <w:tcW w:w="6230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4.2. Ampliación</w:t>
            </w:r>
          </w:p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432" w:left="0" w:firstLine="0"/>
              <w:spacing w:before="0" w:after="0" w:line="240" w:lineRule="auto"/>
              <w:jc w:val="righ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</w:tbl>
    <w:sectPr>
      <w:pgSz w:w="11918" w:h="16854" w:orient="portrait"/>
      <w:type w:val="continuous"/>
      <w:textDirection w:val="lrTb"/>
      <w:pgMar w:bottom="6109" w:top="552" w:right="1598" w:left="116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Arial">
    <w:charset w:val="00"/>
    <w:pitch w:val="variable"/>
    <w:family w:val="swiss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upperRoman"/>
      <w:lvlText w:val="%1."/>
      <w:start w:val="1"/>
      <w:lvlJc w:val="left"/>
      <w:pPr>
        <w:ind w:left="720"/>
        <w:tabs>
          <w:tab w:val="decimal" w:pos="144"/>
        </w:tabs>
      </w:pPr>
      <w:rPr>
        <w:b w:val="true"/>
        <w:color w:val="#000000"/>
        <w:sz w:val="19"/>
        <w:shd w:val="solid" w:color="#BDBDBD" w:fill="#BDBDBD"/>
        <w:lang w:val="en-US"/>
        <w:spacing w:val="8"/>
        <w:w w:val="100"/>
        <w:strike w:val="false"/>
        <w:vertAlign w:val="baseline"/>
        <w:rFonts w:ascii="Arial" w:hAnsi="Arial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1.png" Id="drId2" /><Relationship Type="http://schemas.openxmlformats.org/officeDocument/2006/relationships/image" Target="/word/media/image2.png" Id="drId4" /><Relationship Type="http://schemas.openxmlformats.org/officeDocument/2006/relationships/numbering" Target="/word/numbering.xml" Id="drId5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3" /></Relationships>
</file>